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C3" w:rsidRDefault="00795984">
      <w:pPr>
        <w:pStyle w:val="Title"/>
        <w:jc w:val="center"/>
        <w:rPr>
          <w:b/>
          <w:sz w:val="48"/>
          <w:szCs w:val="48"/>
        </w:rPr>
      </w:pPr>
      <w:bookmarkStart w:id="0" w:name="_qiztaunurw44" w:colFirst="0" w:colLast="0"/>
      <w:bookmarkEnd w:id="0"/>
      <w:r>
        <w:rPr>
          <w:b/>
          <w:sz w:val="48"/>
          <w:szCs w:val="48"/>
        </w:rPr>
        <w:t>School-Based Health Center Learning Network 2022 Grantee Summary</w:t>
      </w:r>
    </w:p>
    <w:p w:rsidR="00EE43C3" w:rsidRDefault="00EE43C3">
      <w:pPr>
        <w:pStyle w:val="Subtitle"/>
        <w:rPr>
          <w:color w:val="F26722"/>
        </w:rPr>
      </w:pPr>
      <w:bookmarkStart w:id="1" w:name="_w1h1z6w99xhx" w:colFirst="0" w:colLast="0"/>
      <w:bookmarkEnd w:id="1"/>
    </w:p>
    <w:p w:rsidR="00EE43C3" w:rsidRDefault="00795984">
      <w:pPr>
        <w:pStyle w:val="Subtitle"/>
        <w:rPr>
          <w:color w:val="F26722"/>
        </w:rPr>
      </w:pPr>
      <w:bookmarkStart w:id="2" w:name="_lcxmet3img1l" w:colFirst="0" w:colLast="0"/>
      <w:bookmarkEnd w:id="2"/>
      <w:r>
        <w:rPr>
          <w:color w:val="F26722"/>
        </w:rPr>
        <w:t>Project Background</w:t>
      </w:r>
    </w:p>
    <w:p w:rsidR="00EE43C3" w:rsidRDefault="0079598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In February 2022, </w:t>
      </w:r>
      <w:r>
        <w:rPr>
          <w:sz w:val="24"/>
          <w:szCs w:val="24"/>
        </w:rPr>
        <w:t xml:space="preserve">Share Our Strength’s No Kid Hungry, in partnership with the School-Based Health Alliance (SBHA), launched a learning network and grant opportunity supporting integration of food access in school-based health center settings in an effort to address healthy </w:t>
      </w:r>
      <w:r>
        <w:rPr>
          <w:sz w:val="24"/>
          <w:szCs w:val="24"/>
        </w:rPr>
        <w:t>food access as a social driver of health. The learning network served as a venue to learn, share, and work together to improve the coordination, quality, and integration of clinical care with food assistance and access.</w:t>
      </w:r>
    </w:p>
    <w:p w:rsidR="00EE43C3" w:rsidRDefault="00EE43C3">
      <w:pPr>
        <w:spacing w:line="259" w:lineRule="auto"/>
        <w:rPr>
          <w:sz w:val="24"/>
          <w:szCs w:val="24"/>
        </w:rPr>
      </w:pPr>
    </w:p>
    <w:p w:rsidR="00EE43C3" w:rsidRDefault="00795984">
      <w:pPr>
        <w:pStyle w:val="Subtitle"/>
        <w:rPr>
          <w:color w:val="F26722"/>
        </w:rPr>
      </w:pPr>
      <w:bookmarkStart w:id="3" w:name="_u1k64aa6lglg" w:colFirst="0" w:colLast="0"/>
      <w:bookmarkEnd w:id="3"/>
      <w:r>
        <w:rPr>
          <w:color w:val="F26722"/>
        </w:rPr>
        <w:t xml:space="preserve">Grantee Profile and Reach </w:t>
      </w:r>
    </w:p>
    <w:p w:rsidR="00EE43C3" w:rsidRDefault="00795984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4" w:name="_xukl1ivzczgj" w:colFirst="0" w:colLast="0"/>
      <w:bookmarkEnd w:id="4"/>
      <w:r>
        <w:rPr>
          <w:b w:val="0"/>
          <w:color w:val="625C58"/>
          <w:sz w:val="24"/>
          <w:szCs w:val="24"/>
        </w:rPr>
        <w:t>From Feb</w:t>
      </w:r>
      <w:r>
        <w:rPr>
          <w:b w:val="0"/>
          <w:color w:val="625C58"/>
          <w:sz w:val="24"/>
          <w:szCs w:val="24"/>
        </w:rPr>
        <w:t xml:space="preserve">ruary - December 2022, </w:t>
      </w:r>
      <w:r>
        <w:rPr>
          <w:sz w:val="24"/>
          <w:szCs w:val="24"/>
        </w:rPr>
        <w:t>16 school-based health centers (SBHC)</w:t>
      </w:r>
      <w:r>
        <w:rPr>
          <w:b w:val="0"/>
          <w:color w:val="625C58"/>
          <w:sz w:val="24"/>
          <w:szCs w:val="24"/>
        </w:rPr>
        <w:t xml:space="preserve"> participated in the food security learning network and piloted food security interventions in their health center and/or school setting. The SBHC’s involved in this project were located across 12</w:t>
      </w:r>
      <w:r>
        <w:rPr>
          <w:b w:val="0"/>
          <w:color w:val="625C58"/>
          <w:sz w:val="24"/>
          <w:szCs w:val="24"/>
        </w:rPr>
        <w:t xml:space="preserve"> states:  GA, MD, LA, WV, AR, MI, WA, NY, IL, CO, OH, and FL.  Over the course of the </w:t>
      </w:r>
      <w:proofErr w:type="gramStart"/>
      <w:r>
        <w:rPr>
          <w:b w:val="0"/>
          <w:color w:val="625C58"/>
          <w:sz w:val="24"/>
          <w:szCs w:val="24"/>
        </w:rPr>
        <w:t>one year</w:t>
      </w:r>
      <w:proofErr w:type="gramEnd"/>
      <w:r>
        <w:rPr>
          <w:b w:val="0"/>
          <w:color w:val="625C58"/>
          <w:sz w:val="24"/>
          <w:szCs w:val="24"/>
        </w:rPr>
        <w:t xml:space="preserve"> grant period, these centers reached over </w:t>
      </w:r>
      <w:r>
        <w:rPr>
          <w:sz w:val="24"/>
          <w:szCs w:val="24"/>
        </w:rPr>
        <w:t xml:space="preserve">5000 youth </w:t>
      </w:r>
      <w:r>
        <w:rPr>
          <w:b w:val="0"/>
          <w:color w:val="625C58"/>
          <w:sz w:val="24"/>
          <w:szCs w:val="24"/>
        </w:rPr>
        <w:t xml:space="preserve">and their households with a variety of food security interventions, detailed below.  </w:t>
      </w:r>
    </w:p>
    <w:p w:rsidR="00EE43C3" w:rsidRDefault="00EE43C3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color w:val="F26722"/>
        </w:rPr>
      </w:pPr>
      <w:bookmarkStart w:id="5" w:name="_w5x943akcak5" w:colFirst="0" w:colLast="0"/>
      <w:bookmarkEnd w:id="5"/>
    </w:p>
    <w:p w:rsidR="00EE43C3" w:rsidRDefault="00795984">
      <w:pPr>
        <w:pStyle w:val="Subtitle"/>
        <w:pBdr>
          <w:top w:val="nil"/>
          <w:left w:val="nil"/>
          <w:bottom w:val="nil"/>
          <w:right w:val="nil"/>
          <w:between w:val="nil"/>
        </w:pBdr>
      </w:pPr>
      <w:bookmarkStart w:id="6" w:name="_s7p6sup72sbp" w:colFirst="0" w:colLast="0"/>
      <w:bookmarkEnd w:id="6"/>
      <w:r>
        <w:rPr>
          <w:color w:val="F26722"/>
        </w:rPr>
        <w:t xml:space="preserve">Interventions (# of </w:t>
      </w:r>
      <w:r>
        <w:rPr>
          <w:color w:val="F26722"/>
        </w:rPr>
        <w:t>SB</w:t>
      </w:r>
      <w:r>
        <w:rPr>
          <w:color w:val="F26722"/>
        </w:rPr>
        <w:t>HC</w:t>
      </w:r>
      <w:r>
        <w:rPr>
          <w:color w:val="F26722"/>
        </w:rPr>
        <w:t>)</w:t>
      </w:r>
    </w:p>
    <w:tbl>
      <w:tblPr>
        <w:tblStyle w:val="a"/>
        <w:tblW w:w="9300" w:type="dxa"/>
        <w:tblBorders>
          <w:top w:val="single" w:sz="24" w:space="0" w:color="63C8CC"/>
          <w:left w:val="single" w:sz="24" w:space="0" w:color="63C8CC"/>
          <w:bottom w:val="single" w:sz="24" w:space="0" w:color="63C8CC"/>
          <w:right w:val="single" w:sz="24" w:space="0" w:color="63C8CC"/>
          <w:insideH w:val="single" w:sz="24" w:space="0" w:color="63C8CC"/>
          <w:insideV w:val="single" w:sz="24" w:space="0" w:color="63C8CC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070"/>
        <w:gridCol w:w="1935"/>
        <w:gridCol w:w="1800"/>
        <w:gridCol w:w="1635"/>
      </w:tblGrid>
      <w:tr w:rsidR="00EE43C3">
        <w:trPr>
          <w:trHeight w:val="818"/>
        </w:trPr>
        <w:tc>
          <w:tcPr>
            <w:tcW w:w="1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Food Insecurity Screening (11)</w:t>
            </w: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Referrals to food programs (9)</w:t>
            </w:r>
          </w:p>
        </w:tc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Food Pantry (8)</w:t>
            </w:r>
          </w:p>
          <w:p w:rsidR="00EE43C3" w:rsidRDefault="0079598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Food Bags (6)</w:t>
            </w:r>
          </w:p>
        </w:tc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Food or Meal Delivery (6)</w:t>
            </w:r>
          </w:p>
          <w:p w:rsidR="00EE43C3" w:rsidRDefault="00EE4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Grocery Gift Cards (6)</w:t>
            </w:r>
          </w:p>
        </w:tc>
      </w:tr>
      <w:tr w:rsidR="00EE43C3">
        <w:tc>
          <w:tcPr>
            <w:tcW w:w="1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Nutrition Education (9)</w:t>
            </w: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Community food events (4)</w:t>
            </w:r>
          </w:p>
        </w:tc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Farmers Market</w:t>
            </w:r>
          </w:p>
          <w:p w:rsidR="00EE43C3" w:rsidRDefault="0079598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Produce Vouchers (2)</w:t>
            </w:r>
          </w:p>
        </w:tc>
        <w:tc>
          <w:tcPr>
            <w:tcW w:w="1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Onsite Garden (3)</w:t>
            </w:r>
          </w:p>
        </w:tc>
      </w:tr>
      <w:tr w:rsidR="00EE43C3">
        <w:tc>
          <w:tcPr>
            <w:tcW w:w="1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Snack program</w:t>
            </w:r>
          </w:p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Clinical Nutrition visit (1)</w:t>
            </w:r>
          </w:p>
        </w:tc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Hot Meals (2)</w:t>
            </w:r>
          </w:p>
          <w:p w:rsidR="00EE43C3" w:rsidRDefault="00EE4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EE43C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EE43C3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EE43C3" w:rsidRDefault="00EE43C3">
      <w:pPr>
        <w:pStyle w:val="Heading2"/>
        <w:rPr>
          <w:color w:val="F26722"/>
          <w:sz w:val="30"/>
          <w:szCs w:val="30"/>
        </w:rPr>
      </w:pPr>
      <w:bookmarkStart w:id="7" w:name="_dgrhdn813lqx" w:colFirst="0" w:colLast="0"/>
      <w:bookmarkEnd w:id="7"/>
    </w:p>
    <w:p w:rsidR="00EE43C3" w:rsidRDefault="00795984">
      <w:pPr>
        <w:pStyle w:val="Heading2"/>
        <w:rPr>
          <w:color w:val="F26722"/>
          <w:sz w:val="30"/>
          <w:szCs w:val="30"/>
        </w:rPr>
      </w:pPr>
      <w:bookmarkStart w:id="8" w:name="_8i1tka64uwj5" w:colFirst="0" w:colLast="0"/>
      <w:bookmarkEnd w:id="8"/>
      <w:r>
        <w:rPr>
          <w:color w:val="F26722"/>
          <w:sz w:val="30"/>
          <w:szCs w:val="30"/>
        </w:rPr>
        <w:t xml:space="preserve">Significant Program Outcomes </w:t>
      </w:r>
    </w:p>
    <w:p w:rsidR="00EE43C3" w:rsidRDefault="00795984">
      <w:pPr>
        <w:rPr>
          <w:sz w:val="24"/>
          <w:szCs w:val="24"/>
        </w:rPr>
      </w:pPr>
      <w:r>
        <w:rPr>
          <w:sz w:val="24"/>
          <w:szCs w:val="24"/>
        </w:rPr>
        <w:t xml:space="preserve">Despite challenges in collecting data over the course of the short planning and implementation timeline, SBHCs that were able to collect data reported significant outcomes for families.  </w:t>
      </w:r>
    </w:p>
    <w:p w:rsidR="00EE43C3" w:rsidRDefault="00EE43C3">
      <w:pPr>
        <w:rPr>
          <w:sz w:val="24"/>
          <w:szCs w:val="24"/>
        </w:rPr>
      </w:pPr>
    </w:p>
    <w:tbl>
      <w:tblPr>
        <w:tblStyle w:val="a0"/>
        <w:tblW w:w="10125" w:type="dxa"/>
        <w:tblInd w:w="-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692"/>
        <w:gridCol w:w="8433"/>
      </w:tblGrid>
      <w:tr w:rsidR="00EE43C3">
        <w:trPr>
          <w:trHeight w:val="1166"/>
        </w:trPr>
        <w:tc>
          <w:tcPr>
            <w:tcW w:w="169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458C"/>
                <w:sz w:val="24"/>
                <w:szCs w:val="24"/>
              </w:rPr>
            </w:pPr>
            <w:r>
              <w:rPr>
                <w:b/>
                <w:noProof/>
                <w:color w:val="00458C"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676275" cy="651352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513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3C3" w:rsidRDefault="00795984">
            <w:pPr>
              <w:rPr>
                <w:b/>
                <w:color w:val="00458C"/>
                <w:sz w:val="24"/>
                <w:szCs w:val="24"/>
              </w:rPr>
            </w:pPr>
            <w:r>
              <w:rPr>
                <w:b/>
                <w:color w:val="00458C"/>
                <w:sz w:val="24"/>
                <w:szCs w:val="24"/>
              </w:rPr>
              <w:t>1207</w:t>
            </w:r>
            <w:r>
              <w:rPr>
                <w:sz w:val="24"/>
                <w:szCs w:val="24"/>
              </w:rPr>
              <w:t xml:space="preserve"> households screened for Food Insecurity &amp; </w:t>
            </w:r>
            <w:r>
              <w:rPr>
                <w:b/>
                <w:color w:val="00458C"/>
                <w:sz w:val="24"/>
                <w:szCs w:val="24"/>
              </w:rPr>
              <w:t xml:space="preserve">115 </w:t>
            </w:r>
            <w:r>
              <w:rPr>
                <w:sz w:val="24"/>
                <w:szCs w:val="24"/>
              </w:rPr>
              <w:t>families refer</w:t>
            </w:r>
            <w:r>
              <w:rPr>
                <w:sz w:val="24"/>
                <w:szCs w:val="24"/>
              </w:rPr>
              <w:t xml:space="preserve">red to SNAP. </w:t>
            </w:r>
          </w:p>
        </w:tc>
      </w:tr>
      <w:tr w:rsidR="00EE43C3">
        <w:trPr>
          <w:trHeight w:val="962"/>
        </w:trPr>
        <w:tc>
          <w:tcPr>
            <w:tcW w:w="169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458C"/>
                <w:sz w:val="24"/>
                <w:szCs w:val="24"/>
              </w:rPr>
            </w:pPr>
            <w:r>
              <w:rPr>
                <w:b/>
                <w:noProof/>
                <w:color w:val="00458C"/>
                <w:sz w:val="24"/>
                <w:szCs w:val="24"/>
              </w:rPr>
              <w:drawing>
                <wp:inline distT="114300" distB="114300" distL="114300" distR="114300">
                  <wp:extent cx="493642" cy="493642"/>
                  <wp:effectExtent l="0" t="0" r="0" b="0"/>
                  <wp:docPr id="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642" cy="4936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43C3" w:rsidRDefault="00795984">
            <w:pPr>
              <w:rPr>
                <w:sz w:val="24"/>
                <w:szCs w:val="24"/>
              </w:rPr>
            </w:pPr>
            <w:r>
              <w:rPr>
                <w:b/>
                <w:color w:val="00458C"/>
                <w:sz w:val="24"/>
                <w:szCs w:val="24"/>
              </w:rPr>
              <w:t xml:space="preserve">212 </w:t>
            </w:r>
            <w:r>
              <w:rPr>
                <w:sz w:val="24"/>
                <w:szCs w:val="24"/>
              </w:rPr>
              <w:t xml:space="preserve">households reported </w:t>
            </w:r>
            <w:r>
              <w:rPr>
                <w:b/>
                <w:color w:val="00458C"/>
                <w:sz w:val="24"/>
                <w:szCs w:val="24"/>
              </w:rPr>
              <w:t>improved food security</w:t>
            </w:r>
            <w:r>
              <w:rPr>
                <w:sz w:val="24"/>
                <w:szCs w:val="24"/>
              </w:rPr>
              <w:t xml:space="preserve">. </w:t>
            </w:r>
          </w:p>
          <w:p w:rsidR="00EE43C3" w:rsidRDefault="00EE4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458C"/>
                <w:sz w:val="24"/>
                <w:szCs w:val="24"/>
              </w:rPr>
            </w:pPr>
          </w:p>
        </w:tc>
      </w:tr>
      <w:tr w:rsidR="00EE43C3"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458C"/>
                <w:sz w:val="24"/>
                <w:szCs w:val="24"/>
              </w:rPr>
            </w:pPr>
            <w:r>
              <w:rPr>
                <w:b/>
                <w:noProof/>
                <w:color w:val="00458C"/>
                <w:sz w:val="24"/>
                <w:szCs w:val="24"/>
              </w:rPr>
              <w:drawing>
                <wp:inline distT="114300" distB="114300" distL="114300" distR="114300">
                  <wp:extent cx="421005" cy="421005"/>
                  <wp:effectExtent l="0" t="0" r="0" b="0"/>
                  <wp:docPr id="1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43C3" w:rsidRDefault="00795984">
            <w:pPr>
              <w:rPr>
                <w:sz w:val="24"/>
                <w:szCs w:val="24"/>
              </w:rPr>
            </w:pPr>
            <w:r>
              <w:rPr>
                <w:b/>
                <w:color w:val="00458C"/>
                <w:sz w:val="24"/>
                <w:szCs w:val="24"/>
              </w:rPr>
              <w:t xml:space="preserve">158 </w:t>
            </w:r>
            <w:r>
              <w:rPr>
                <w:sz w:val="24"/>
                <w:szCs w:val="24"/>
              </w:rPr>
              <w:t>individuals reported improved dietary health measures</w:t>
            </w:r>
          </w:p>
          <w:p w:rsidR="00EE43C3" w:rsidRDefault="00EE4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458C"/>
                <w:sz w:val="24"/>
                <w:szCs w:val="24"/>
              </w:rPr>
            </w:pPr>
          </w:p>
        </w:tc>
      </w:tr>
    </w:tbl>
    <w:p w:rsidR="00EE43C3" w:rsidRDefault="00EE43C3">
      <w:pPr>
        <w:rPr>
          <w:sz w:val="24"/>
          <w:szCs w:val="24"/>
        </w:rPr>
      </w:pPr>
    </w:p>
    <w:p w:rsidR="00EE43C3" w:rsidRDefault="0079598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 addition to these data points, SBHCs also reported numerous program outcomes that were significant to the SBHC, school community and families: </w:t>
      </w:r>
    </w:p>
    <w:p w:rsidR="00EE43C3" w:rsidRDefault="00EE43C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E43C3" w:rsidRDefault="00795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color w:val="00458C"/>
          <w:sz w:val="24"/>
          <w:szCs w:val="24"/>
        </w:rPr>
        <w:t>Increased access to healthy foods</w:t>
      </w:r>
      <w:r>
        <w:rPr>
          <w:sz w:val="24"/>
          <w:szCs w:val="24"/>
        </w:rPr>
        <w:t xml:space="preserve"> for families through establishment of a novel access point, increased service locations or community partnerships.  </w:t>
      </w:r>
    </w:p>
    <w:p w:rsidR="00EE43C3" w:rsidRDefault="00795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color w:val="00458C"/>
          <w:sz w:val="24"/>
          <w:szCs w:val="24"/>
        </w:rPr>
        <w:t>Improved SBHC process for screening and referring</w:t>
      </w:r>
      <w:r>
        <w:rPr>
          <w:sz w:val="24"/>
          <w:szCs w:val="24"/>
        </w:rPr>
        <w:t xml:space="preserve"> families to resources, in addition to increased awareness of available resources by staf</w:t>
      </w:r>
      <w:r>
        <w:rPr>
          <w:sz w:val="24"/>
          <w:szCs w:val="24"/>
        </w:rPr>
        <w:t xml:space="preserve">f and families.  </w:t>
      </w:r>
    </w:p>
    <w:p w:rsidR="00EE43C3" w:rsidRDefault="00795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458C"/>
          <w:sz w:val="24"/>
          <w:szCs w:val="24"/>
        </w:rPr>
        <w:t>Increased awareness and use of SBHC services</w:t>
      </w:r>
      <w:r>
        <w:rPr>
          <w:sz w:val="24"/>
          <w:szCs w:val="24"/>
        </w:rPr>
        <w:t xml:space="preserve"> through food security outreach and access initiatives.</w:t>
      </w:r>
      <w:r>
        <w:t xml:space="preserve">  </w:t>
      </w:r>
    </w:p>
    <w:p w:rsidR="00EE43C3" w:rsidRDefault="00EE43C3">
      <w:pPr>
        <w:rPr>
          <w:b/>
          <w:color w:val="F26722"/>
          <w:sz w:val="30"/>
          <w:szCs w:val="30"/>
        </w:rPr>
      </w:pPr>
    </w:p>
    <w:p w:rsidR="00EE43C3" w:rsidRDefault="00795984">
      <w:pPr>
        <w:rPr>
          <w:b/>
          <w:color w:val="F26722"/>
          <w:sz w:val="30"/>
          <w:szCs w:val="30"/>
        </w:rPr>
      </w:pPr>
      <w:r>
        <w:rPr>
          <w:b/>
          <w:color w:val="F26722"/>
          <w:sz w:val="30"/>
          <w:szCs w:val="30"/>
        </w:rPr>
        <w:t>Community Engagement</w:t>
      </w:r>
    </w:p>
    <w:p w:rsidR="00EE43C3" w:rsidRDefault="00795984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b w:val="0"/>
          <w:color w:val="625C58"/>
        </w:rPr>
      </w:pPr>
      <w:bookmarkStart w:id="9" w:name="_woth15dhqg95" w:colFirst="0" w:colLast="0"/>
      <w:bookmarkEnd w:id="9"/>
      <w:r>
        <w:rPr>
          <w:b w:val="0"/>
          <w:color w:val="625C58"/>
        </w:rPr>
        <w:t xml:space="preserve">SBHCs involved students, families, the school and other community partners in a variety of ways. </w:t>
      </w:r>
    </w:p>
    <w:p w:rsidR="00EE43C3" w:rsidRDefault="00EE43C3"/>
    <w:p w:rsidR="00EE43C3" w:rsidRDefault="0079598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Needs assessmen</w:t>
      </w:r>
      <w:r>
        <w:rPr>
          <w:sz w:val="24"/>
          <w:szCs w:val="24"/>
        </w:rPr>
        <w:t>t and planning for food security interventions.</w:t>
      </w:r>
    </w:p>
    <w:p w:rsidR="00EE43C3" w:rsidRDefault="0079598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Soliciting feedback from families through surveys, email or text correspondence and at food distribution events.  </w:t>
      </w:r>
    </w:p>
    <w:p w:rsidR="00EE43C3" w:rsidRDefault="0079598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Youth advisory committees or youth intern engagement.  </w:t>
      </w:r>
    </w:p>
    <w:p w:rsidR="00EE43C3" w:rsidRDefault="00EE43C3">
      <w:pPr>
        <w:rPr>
          <w:sz w:val="24"/>
          <w:szCs w:val="24"/>
        </w:rPr>
      </w:pPr>
    </w:p>
    <w:p w:rsidR="00EE43C3" w:rsidRDefault="00795984">
      <w:pPr>
        <w:rPr>
          <w:sz w:val="24"/>
          <w:szCs w:val="24"/>
        </w:rPr>
      </w:pPr>
      <w:r>
        <w:rPr>
          <w:sz w:val="24"/>
          <w:szCs w:val="24"/>
        </w:rPr>
        <w:t>SBHCs acted on feedback to implement</w:t>
      </w:r>
      <w:r>
        <w:rPr>
          <w:sz w:val="24"/>
          <w:szCs w:val="24"/>
        </w:rPr>
        <w:t xml:space="preserve"> </w:t>
      </w:r>
      <w:r w:rsidR="00EF472C">
        <w:rPr>
          <w:sz w:val="24"/>
          <w:szCs w:val="24"/>
        </w:rPr>
        <w:t>fewer</w:t>
      </w:r>
      <w:r>
        <w:rPr>
          <w:sz w:val="24"/>
          <w:szCs w:val="24"/>
        </w:rPr>
        <w:t xml:space="preserve"> stigmatizing programs and processes, identify food preferences and needs, and understand interest and usefulness of program components.  </w:t>
      </w:r>
    </w:p>
    <w:p w:rsidR="00EE43C3" w:rsidRDefault="00EE43C3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F26722"/>
        </w:rPr>
      </w:pPr>
      <w:bookmarkStart w:id="10" w:name="_3bgb8id38nqg" w:colFirst="0" w:colLast="0"/>
      <w:bookmarkEnd w:id="10"/>
    </w:p>
    <w:p w:rsidR="00EE43C3" w:rsidRDefault="00EE43C3"/>
    <w:p w:rsidR="00EE43C3" w:rsidRDefault="00795984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F26722"/>
          <w:sz w:val="30"/>
          <w:szCs w:val="30"/>
        </w:rPr>
      </w:pPr>
      <w:bookmarkStart w:id="11" w:name="_69zume7zmfnw" w:colFirst="0" w:colLast="0"/>
      <w:bookmarkEnd w:id="11"/>
      <w:r>
        <w:rPr>
          <w:color w:val="F26722"/>
          <w:sz w:val="30"/>
          <w:szCs w:val="30"/>
        </w:rPr>
        <w:lastRenderedPageBreak/>
        <w:t>Challenges and Lessons Learned</w:t>
      </w:r>
    </w:p>
    <w:p w:rsidR="00EE43C3" w:rsidRDefault="00EE43C3">
      <w:pPr>
        <w:rPr>
          <w:b/>
          <w:color w:val="00458C"/>
        </w:rPr>
      </w:pPr>
    </w:p>
    <w:p w:rsidR="00EE43C3" w:rsidRDefault="00795984">
      <w:pPr>
        <w:rPr>
          <w:sz w:val="24"/>
          <w:szCs w:val="24"/>
        </w:rPr>
      </w:pPr>
      <w:r>
        <w:rPr>
          <w:b/>
          <w:color w:val="00458C"/>
          <w:sz w:val="24"/>
          <w:szCs w:val="24"/>
        </w:rPr>
        <w:t>Challenges faced by families and youth:</w:t>
      </w:r>
      <w:r>
        <w:rPr>
          <w:color w:val="00458C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Style w:val="a1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E43C3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701040" cy="709486"/>
                  <wp:effectExtent l="0" t="0" r="0" b="0"/>
                  <wp:docPr id="1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094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70560" cy="679501"/>
                  <wp:effectExtent l="0" t="0" r="0" b="0"/>
                  <wp:docPr id="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95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47700" cy="655796"/>
                  <wp:effectExtent l="0" t="0" r="0" b="0"/>
                  <wp:docPr id="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557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98800" cy="603017"/>
                  <wp:effectExtent l="0" t="0" r="0" b="0"/>
                  <wp:docPr id="1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00" cy="603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3C3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EE4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of Food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EE4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Transportation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Limited access to retailers or variety.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Stigma around accessing resources.</w:t>
            </w:r>
          </w:p>
        </w:tc>
      </w:tr>
    </w:tbl>
    <w:p w:rsidR="00EE43C3" w:rsidRDefault="00EE43C3"/>
    <w:p w:rsidR="00EE43C3" w:rsidRDefault="00795984">
      <w:pPr>
        <w:rPr>
          <w:sz w:val="24"/>
          <w:szCs w:val="24"/>
        </w:rPr>
      </w:pPr>
      <w:r>
        <w:rPr>
          <w:b/>
          <w:color w:val="00458C"/>
          <w:sz w:val="24"/>
          <w:szCs w:val="24"/>
        </w:rPr>
        <w:t>Challenges encountered by SBHCs integrating food security interventions into services:</w:t>
      </w:r>
    </w:p>
    <w:tbl>
      <w:tblPr>
        <w:tblStyle w:val="a2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E43C3">
        <w:trPr>
          <w:trHeight w:val="126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93420" cy="696994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69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32460" cy="635720"/>
                  <wp:effectExtent l="0" t="0" r="0" b="0"/>
                  <wp:docPr id="8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635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24840" cy="628061"/>
                  <wp:effectExtent l="0" t="0" r="0" b="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6280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3C3">
        <w:trPr>
          <w:trHeight w:val="71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 &amp; Staff Resources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 learning curve (time &amp; capacity)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Screening &amp; Identifying families. Adopting new workflows. </w:t>
            </w:r>
          </w:p>
        </w:tc>
      </w:tr>
    </w:tbl>
    <w:p w:rsidR="00EE43C3" w:rsidRDefault="00EE43C3">
      <w:pPr>
        <w:rPr>
          <w:b/>
          <w:color w:val="00458C"/>
        </w:rPr>
      </w:pPr>
    </w:p>
    <w:p w:rsidR="00EE43C3" w:rsidRDefault="00795984">
      <w:pPr>
        <w:rPr>
          <w:b/>
          <w:color w:val="00458C"/>
          <w:sz w:val="24"/>
          <w:szCs w:val="24"/>
        </w:rPr>
      </w:pPr>
      <w:r>
        <w:rPr>
          <w:b/>
          <w:color w:val="00458C"/>
          <w:sz w:val="24"/>
          <w:szCs w:val="24"/>
        </w:rPr>
        <w:t xml:space="preserve">SBHCs employed a </w:t>
      </w:r>
      <w:proofErr w:type="gramStart"/>
      <w:r>
        <w:rPr>
          <w:b/>
          <w:color w:val="00458C"/>
          <w:sz w:val="24"/>
          <w:szCs w:val="24"/>
        </w:rPr>
        <w:t>variety strategies</w:t>
      </w:r>
      <w:proofErr w:type="gramEnd"/>
      <w:r>
        <w:rPr>
          <w:b/>
          <w:color w:val="00458C"/>
          <w:sz w:val="24"/>
          <w:szCs w:val="24"/>
        </w:rPr>
        <w:t xml:space="preserve"> to overcome these challenges: </w:t>
      </w:r>
    </w:p>
    <w:p w:rsidR="00EE43C3" w:rsidRDefault="00EE43C3">
      <w:pPr>
        <w:rPr>
          <w:b/>
          <w:color w:val="00458C"/>
        </w:rPr>
      </w:pPr>
    </w:p>
    <w:p w:rsidR="00EE43C3" w:rsidRDefault="0079598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Understand existing resources and collaborate with partners.</w:t>
      </w:r>
    </w:p>
    <w:p w:rsidR="00EE43C3" w:rsidRDefault="0079598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Bring families and youth into the process as a way to address stigma. Normalize food access by connecting it to health services at the SBHC. </w:t>
      </w:r>
    </w:p>
    <w:p w:rsidR="00EE43C3" w:rsidRDefault="0079598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Utilize technology to streamline screening and referrals in the workflow. For example, integrate food security scr</w:t>
      </w:r>
      <w:r>
        <w:rPr>
          <w:sz w:val="24"/>
          <w:szCs w:val="24"/>
        </w:rPr>
        <w:t xml:space="preserve">eening in EHR or use social needs referral platforms. </w:t>
      </w:r>
    </w:p>
    <w:p w:rsidR="00EE43C3" w:rsidRDefault="0079598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Bring resources to where students and families are:  snacks in the classroom, food delivery at bus stops, mobile markets and meals at school events.  </w:t>
      </w:r>
    </w:p>
    <w:p w:rsidR="00EE43C3" w:rsidRDefault="00EE43C3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F26722"/>
          <w:sz w:val="30"/>
          <w:szCs w:val="30"/>
        </w:rPr>
      </w:pPr>
      <w:bookmarkStart w:id="12" w:name="_6vn991pxgjx1" w:colFirst="0" w:colLast="0"/>
      <w:bookmarkEnd w:id="12"/>
    </w:p>
    <w:p w:rsidR="00EE43C3" w:rsidRDefault="00795984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13" w:name="_zaunwybeibg2" w:colFirst="0" w:colLast="0"/>
      <w:bookmarkEnd w:id="13"/>
      <w:r>
        <w:rPr>
          <w:color w:val="F26722"/>
          <w:sz w:val="30"/>
          <w:szCs w:val="30"/>
        </w:rPr>
        <w:t>Successes</w:t>
      </w:r>
    </w:p>
    <w:tbl>
      <w:tblPr>
        <w:tblStyle w:val="a3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E43C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059180" cy="1066968"/>
                  <wp:effectExtent l="0" t="0" r="0" b="0"/>
                  <wp:docPr id="1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0669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082040" cy="1087618"/>
                  <wp:effectExtent l="0" t="0" r="0" b="0"/>
                  <wp:docPr id="2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76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082040" cy="1087618"/>
                  <wp:effectExtent l="0" t="0" r="0" b="0"/>
                  <wp:docPr id="1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9"/>
                          <a:srcRect l="256" r="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76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3C3">
        <w:trPr>
          <w:trHeight w:val="944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Identifying and Elevating food needs in the community.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Partnership Development and coalition building.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Developing closer relationships with families to address other needs. </w:t>
            </w:r>
          </w:p>
        </w:tc>
      </w:tr>
      <w:tr w:rsidR="00EE43C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Training and increasing staff awareness of resources.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Centralizing food resource information and connection.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Increasing connection and use of SBHC health services.  </w:t>
            </w:r>
          </w:p>
        </w:tc>
      </w:tr>
      <w:tr w:rsidR="00EE43C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Establishing new food access points in the community.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Strengthening school &amp; SBHC partnership.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3C3" w:rsidRDefault="0079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Student Involvement in planning &amp; implementation.</w:t>
            </w:r>
          </w:p>
        </w:tc>
      </w:tr>
    </w:tbl>
    <w:p w:rsidR="00EE43C3" w:rsidRDefault="00EE43C3"/>
    <w:p w:rsidR="00EE43C3" w:rsidRDefault="00795984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F26722"/>
          <w:sz w:val="30"/>
          <w:szCs w:val="30"/>
        </w:rPr>
      </w:pPr>
      <w:bookmarkStart w:id="14" w:name="_4683535hvshq" w:colFirst="0" w:colLast="0"/>
      <w:bookmarkEnd w:id="14"/>
      <w:r>
        <w:rPr>
          <w:color w:val="F26722"/>
          <w:sz w:val="30"/>
          <w:szCs w:val="30"/>
        </w:rPr>
        <w:t>Ongoing Needs for Support</w:t>
      </w:r>
    </w:p>
    <w:p w:rsidR="00EE43C3" w:rsidRDefault="00EE43C3"/>
    <w:p w:rsidR="00EE43C3" w:rsidRDefault="00795984">
      <w:pPr>
        <w:numPr>
          <w:ilvl w:val="0"/>
          <w:numId w:val="2"/>
        </w:numPr>
      </w:pPr>
      <w:r>
        <w:t xml:space="preserve">Making connections with food resources and partners, outside of the organizations SBHC’s traditionally work with.  </w:t>
      </w:r>
    </w:p>
    <w:p w:rsidR="00EE43C3" w:rsidRDefault="00795984">
      <w:pPr>
        <w:numPr>
          <w:ilvl w:val="0"/>
          <w:numId w:val="2"/>
        </w:numPr>
      </w:pPr>
      <w:r>
        <w:t xml:space="preserve">Standardizing training for staff and establishing best practices for screening and data collection specifically in SBHC settings and integrating with primary care workflows. </w:t>
      </w:r>
    </w:p>
    <w:p w:rsidR="00EE43C3" w:rsidRDefault="00795984">
      <w:pPr>
        <w:numPr>
          <w:ilvl w:val="0"/>
          <w:numId w:val="2"/>
        </w:numPr>
      </w:pPr>
      <w:r>
        <w:t>Training and resources to further engage and empower students and families, while</w:t>
      </w:r>
      <w:r>
        <w:t xml:space="preserve"> reducing the stigma surrounding food resources. </w:t>
      </w:r>
    </w:p>
    <w:p w:rsidR="00EE43C3" w:rsidRDefault="00795984">
      <w:pPr>
        <w:numPr>
          <w:ilvl w:val="0"/>
          <w:numId w:val="2"/>
        </w:numPr>
      </w:pPr>
      <w:r>
        <w:t xml:space="preserve">Nutrition education resources and integration of food security resources with clinical nutrition visits.  </w:t>
      </w:r>
    </w:p>
    <w:p w:rsidR="00EE43C3" w:rsidRDefault="00EE43C3"/>
    <w:p w:rsidR="00EE43C3" w:rsidRDefault="00795984">
      <w:pPr>
        <w:rPr>
          <w:b/>
          <w:color w:val="00458C"/>
        </w:rPr>
      </w:pPr>
      <w:r>
        <w:rPr>
          <w:b/>
          <w:color w:val="00458C"/>
        </w:rPr>
        <w:t xml:space="preserve">For Questions about this project, please contact: </w:t>
      </w:r>
    </w:p>
    <w:p w:rsidR="00EE43C3" w:rsidRDefault="00795984">
      <w:r>
        <w:t xml:space="preserve">Sarah Mills, Manager Health Strategies; </w:t>
      </w:r>
      <w:hyperlink r:id="rId20">
        <w:r>
          <w:rPr>
            <w:color w:val="1155CC"/>
            <w:u w:val="single"/>
          </w:rPr>
          <w:t>smills@strength.org</w:t>
        </w:r>
      </w:hyperlink>
      <w:r>
        <w:t xml:space="preserve"> </w:t>
      </w:r>
    </w:p>
    <w:p w:rsidR="00EF472C" w:rsidRDefault="00EF472C"/>
    <w:p w:rsidR="00EF472C" w:rsidRPr="00EF472C" w:rsidRDefault="00EF472C">
      <w:pPr>
        <w:rPr>
          <w:b/>
          <w:color w:val="00458C"/>
        </w:rPr>
      </w:pPr>
      <w:r w:rsidRPr="00EF472C">
        <w:rPr>
          <w:b/>
          <w:color w:val="00458C"/>
        </w:rPr>
        <w:t xml:space="preserve">To </w:t>
      </w:r>
      <w:r>
        <w:rPr>
          <w:b/>
          <w:color w:val="00458C"/>
        </w:rPr>
        <w:t>l</w:t>
      </w:r>
      <w:r w:rsidRPr="00EF472C">
        <w:rPr>
          <w:b/>
          <w:color w:val="00458C"/>
        </w:rPr>
        <w:t xml:space="preserve">earn more about this project and lessons learned, check out the Toolkit: </w:t>
      </w:r>
    </w:p>
    <w:p w:rsidR="00EF472C" w:rsidRPr="00EF472C" w:rsidRDefault="00EF472C">
      <w:pPr>
        <w:rPr>
          <w:color w:val="00458C"/>
        </w:rPr>
      </w:pPr>
      <w:hyperlink r:id="rId21" w:history="1">
        <w:r w:rsidRPr="00EF472C">
          <w:rPr>
            <w:rStyle w:val="Hyperlink"/>
          </w:rPr>
          <w:t>Emerging Models and Resources to Address Food Insecurity in School-Based Health Centers</w:t>
        </w:r>
      </w:hyperlink>
    </w:p>
    <w:p w:rsidR="00EE43C3" w:rsidRDefault="00EE43C3"/>
    <w:p w:rsidR="00EE43C3" w:rsidRDefault="00EE43C3">
      <w:bookmarkStart w:id="15" w:name="_GoBack"/>
      <w:bookmarkEnd w:id="15"/>
    </w:p>
    <w:p w:rsidR="00EE43C3" w:rsidRDefault="00EE43C3"/>
    <w:sectPr w:rsidR="00EE43C3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350" w:right="1440" w:bottom="1440" w:left="1440" w:header="720" w:footer="9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984" w:rsidRDefault="00795984">
      <w:pPr>
        <w:spacing w:line="240" w:lineRule="auto"/>
      </w:pPr>
      <w:r>
        <w:separator/>
      </w:r>
    </w:p>
  </w:endnote>
  <w:endnote w:type="continuationSeparator" w:id="0">
    <w:p w:rsidR="00795984" w:rsidRDefault="00795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C3" w:rsidRDefault="00795984">
    <w:pPr>
      <w:jc w:val="center"/>
    </w:pPr>
    <w:r>
      <w:rPr>
        <w:noProof/>
        <w:sz w:val="24"/>
        <w:szCs w:val="24"/>
      </w:rPr>
      <w:drawing>
        <wp:inline distT="114300" distB="114300" distL="114300" distR="114300">
          <wp:extent cx="2287318" cy="751429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7318" cy="751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      </w:t>
    </w:r>
    <w:r>
      <w:rPr>
        <w:noProof/>
      </w:rPr>
      <w:drawing>
        <wp:inline distT="114300" distB="114300" distL="114300" distR="114300">
          <wp:extent cx="1380711" cy="656179"/>
          <wp:effectExtent l="0" t="0" r="0" b="0"/>
          <wp:docPr id="11" name="image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711" cy="6561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C3" w:rsidRDefault="00EE43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984" w:rsidRDefault="00795984">
      <w:pPr>
        <w:spacing w:line="240" w:lineRule="auto"/>
      </w:pPr>
      <w:r>
        <w:separator/>
      </w:r>
    </w:p>
  </w:footnote>
  <w:footnote w:type="continuationSeparator" w:id="0">
    <w:p w:rsidR="00795984" w:rsidRDefault="00795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C3" w:rsidRDefault="00795984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-72.35pt;margin-top:-72.4pt;width:612.35pt;height:793.5pt;z-index:-251659264;mso-position-horizontal:absolute;mso-position-horizontal-relative:margin;mso-position-vertical:absolute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C3" w:rsidRDefault="00795984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-72.35pt;margin-top:-72.4pt;width:612.35pt;height:793.5pt;z-index:-251658240;mso-position-horizontal:absolute;mso-position-horizontal-relative:margin;mso-position-vertical:absolute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E555F"/>
    <w:multiLevelType w:val="multilevel"/>
    <w:tmpl w:val="D69CC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1D4DB1"/>
    <w:multiLevelType w:val="multilevel"/>
    <w:tmpl w:val="63A8A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BD7787"/>
    <w:multiLevelType w:val="multilevel"/>
    <w:tmpl w:val="6B18D8C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583FC4"/>
    <w:multiLevelType w:val="multilevel"/>
    <w:tmpl w:val="2A6E17A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C3"/>
    <w:rsid w:val="00795984"/>
    <w:rsid w:val="00EE43C3"/>
    <w:rsid w:val="00E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62AC3AB"/>
  <w15:docId w15:val="{94B1BCB3-4039-4E4D-AC91-1DEFA181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625C58"/>
        <w:sz w:val="22"/>
        <w:szCs w:val="22"/>
        <w:lang w:val="en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A39C9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  <w:color w:val="63C8C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color w:val="00458C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b/>
      <w:color w:val="00458C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F47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ools.sbh4all.org/no-kid-hungry-toolkit-home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smills@strength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g"/><Relationship Id="rId1" Type="http://schemas.openxmlformats.org/officeDocument/2006/relationships/image" Target="media/image1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Mills, Sarah</cp:lastModifiedBy>
  <cp:revision>2</cp:revision>
  <dcterms:created xsi:type="dcterms:W3CDTF">2023-03-07T14:34:00Z</dcterms:created>
  <dcterms:modified xsi:type="dcterms:W3CDTF">2023-03-07T14:37:00Z</dcterms:modified>
</cp:coreProperties>
</file>